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9D" w:rsidRDefault="00704E9D" w:rsidP="00704E9D">
      <w:pPr>
        <w:widowControl/>
        <w:adjustRightInd w:val="0"/>
        <w:snapToGrid w:val="0"/>
        <w:spacing w:line="560" w:lineRule="exact"/>
        <w:jc w:val="left"/>
        <w:rPr>
          <w:rFonts w:ascii="仿宋_GB2312" w:eastAsia="仿宋_GB2312"/>
          <w:bCs/>
          <w:color w:val="000000"/>
          <w:sz w:val="32"/>
          <w:szCs w:val="32"/>
        </w:rPr>
      </w:pPr>
      <w:r>
        <w:rPr>
          <w:rFonts w:ascii="仿宋_GB2312" w:eastAsia="仿宋_GB2312" w:hint="eastAsia"/>
          <w:bCs/>
          <w:color w:val="000000"/>
          <w:sz w:val="32"/>
          <w:szCs w:val="32"/>
        </w:rPr>
        <w:t>附件：</w:t>
      </w:r>
    </w:p>
    <w:p w:rsidR="0087116A" w:rsidRDefault="0087116A" w:rsidP="00704E9D">
      <w:pPr>
        <w:widowControl/>
        <w:adjustRightInd w:val="0"/>
        <w:snapToGrid w:val="0"/>
        <w:spacing w:line="560" w:lineRule="exact"/>
        <w:jc w:val="left"/>
        <w:rPr>
          <w:rFonts w:ascii="仿宋_GB2312" w:eastAsia="仿宋_GB2312"/>
          <w:bCs/>
          <w:color w:val="000000"/>
          <w:sz w:val="32"/>
          <w:szCs w:val="32"/>
        </w:rPr>
      </w:pPr>
    </w:p>
    <w:p w:rsidR="00000D85" w:rsidRDefault="00000D85" w:rsidP="00000D85">
      <w:pPr>
        <w:spacing w:line="600" w:lineRule="exact"/>
        <w:ind w:leftChars="-135" w:left="-283"/>
        <w:jc w:val="center"/>
        <w:rPr>
          <w:rFonts w:asciiTheme="minorEastAsia" w:eastAsiaTheme="minorEastAsia" w:hAnsiTheme="minorEastAsia"/>
          <w:b/>
          <w:sz w:val="44"/>
          <w:szCs w:val="44"/>
        </w:rPr>
      </w:pPr>
      <w:bookmarkStart w:id="0" w:name="OLE_LINK5"/>
      <w:bookmarkStart w:id="1" w:name="OLE_LINK6"/>
      <w:r w:rsidRPr="00000D85">
        <w:rPr>
          <w:rFonts w:asciiTheme="minorEastAsia" w:eastAsiaTheme="minorEastAsia" w:hAnsiTheme="minorEastAsia" w:hint="eastAsia"/>
          <w:b/>
          <w:sz w:val="44"/>
          <w:szCs w:val="44"/>
        </w:rPr>
        <w:t>中山医学院专职科研系列人员</w:t>
      </w:r>
    </w:p>
    <w:p w:rsidR="00000D85" w:rsidRPr="00000D85" w:rsidRDefault="00000D85" w:rsidP="00000D85">
      <w:pPr>
        <w:spacing w:line="600" w:lineRule="exact"/>
        <w:ind w:leftChars="-135" w:left="-283"/>
        <w:jc w:val="center"/>
        <w:rPr>
          <w:rFonts w:asciiTheme="minorEastAsia" w:eastAsiaTheme="minorEastAsia" w:hAnsiTheme="minorEastAsia"/>
          <w:b/>
          <w:sz w:val="44"/>
          <w:szCs w:val="44"/>
        </w:rPr>
      </w:pPr>
      <w:r w:rsidRPr="00000D85">
        <w:rPr>
          <w:rFonts w:asciiTheme="minorEastAsia" w:eastAsiaTheme="minorEastAsia" w:hAnsiTheme="minorEastAsia" w:hint="eastAsia"/>
          <w:b/>
          <w:sz w:val="44"/>
          <w:szCs w:val="44"/>
        </w:rPr>
        <w:t>和博士后培养管理规定</w:t>
      </w:r>
      <w:bookmarkEnd w:id="0"/>
      <w:bookmarkEnd w:id="1"/>
      <w:r w:rsidRPr="00000D85">
        <w:rPr>
          <w:rFonts w:asciiTheme="minorEastAsia" w:eastAsiaTheme="minorEastAsia" w:hAnsiTheme="minorEastAsia" w:hint="eastAsia"/>
          <w:b/>
          <w:sz w:val="44"/>
          <w:szCs w:val="44"/>
        </w:rPr>
        <w:t>（试行）</w:t>
      </w:r>
    </w:p>
    <w:p w:rsidR="00000D85" w:rsidRPr="00A54A24" w:rsidRDefault="00000D85" w:rsidP="00000D85">
      <w:pPr>
        <w:ind w:leftChars="-135" w:left="-283"/>
        <w:jc w:val="center"/>
        <w:rPr>
          <w:rFonts w:asciiTheme="minorEastAsia" w:eastAsiaTheme="minorEastAsia" w:hAnsiTheme="minorEastAsia"/>
          <w:b/>
          <w:sz w:val="32"/>
          <w:szCs w:val="32"/>
        </w:rPr>
      </w:pPr>
    </w:p>
    <w:p w:rsidR="00000D85" w:rsidRPr="00AB5AFE" w:rsidRDefault="00000D85" w:rsidP="00000D85">
      <w:pPr>
        <w:spacing w:line="360" w:lineRule="auto"/>
        <w:ind w:firstLineChars="200" w:firstLine="643"/>
        <w:jc w:val="left"/>
        <w:rPr>
          <w:rFonts w:ascii="仿宋_GB2312" w:eastAsia="仿宋_GB2312" w:hAnsi="宋体" w:cs="宋体"/>
          <w:color w:val="000000"/>
          <w:kern w:val="0"/>
          <w:sz w:val="32"/>
          <w:szCs w:val="32"/>
        </w:rPr>
      </w:pPr>
      <w:r w:rsidRPr="00AB5AFE">
        <w:rPr>
          <w:rFonts w:ascii="仿宋_GB2312" w:eastAsia="仿宋_GB2312" w:hAnsi="宋体" w:cs="宋体" w:hint="eastAsia"/>
          <w:b/>
          <w:color w:val="000000"/>
          <w:kern w:val="0"/>
          <w:sz w:val="32"/>
          <w:szCs w:val="32"/>
        </w:rPr>
        <w:t>一、</w:t>
      </w:r>
      <w:r w:rsidRPr="00AB5AFE">
        <w:rPr>
          <w:rFonts w:ascii="仿宋_GB2312" w:eastAsia="仿宋_GB2312" w:hAnsi="宋体" w:cs="宋体" w:hint="eastAsia"/>
          <w:color w:val="000000"/>
          <w:kern w:val="0"/>
          <w:sz w:val="32"/>
          <w:szCs w:val="32"/>
        </w:rPr>
        <w:t>为建立和完善中山医学院专职科研系列人员和博士后在站人员的政策保</w:t>
      </w:r>
      <w:r w:rsidRPr="00AB5AFE">
        <w:rPr>
          <w:rFonts w:ascii="仿宋_GB2312" w:eastAsia="仿宋_GB2312" w:hAnsi="宋体" w:cs="宋体" w:hint="eastAsia"/>
          <w:color w:val="000000" w:themeColor="text1"/>
          <w:kern w:val="0"/>
          <w:sz w:val="32"/>
          <w:szCs w:val="32"/>
        </w:rPr>
        <w:t>障机制，</w:t>
      </w:r>
      <w:r w:rsidRPr="00AB5AFE">
        <w:rPr>
          <w:rFonts w:ascii="仿宋_GB2312" w:eastAsia="仿宋_GB2312" w:hAnsi="宋体" w:cs="宋体" w:hint="eastAsia"/>
          <w:color w:val="000000"/>
          <w:kern w:val="0"/>
          <w:sz w:val="32"/>
          <w:szCs w:val="32"/>
        </w:rPr>
        <w:t>在《中山大学加快专职科研系列人员队伍建设的实施办法》（中大人事[2015]12号）和《中山大学加快博士后人员队伍建设的实施办法》（中大人事[2015]15号）两个文件的基础上制订本规定。</w:t>
      </w:r>
    </w:p>
    <w:p w:rsidR="00000D85" w:rsidRPr="00AB5AFE" w:rsidRDefault="00000D85" w:rsidP="00000D85">
      <w:pPr>
        <w:spacing w:line="360" w:lineRule="auto"/>
        <w:ind w:firstLineChars="200" w:firstLine="640"/>
        <w:jc w:val="left"/>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二、学院将不断完善和细化专职科研系列人员和博士后的选拨、聘任、培养以及管理等各方面的制度，建立注重学术成果质量的评价体系，营造自由宽松的学术氛围，激励青年学者潜心学术攀登科学高峰，吸引更多国内外优秀人才加盟我院，为建设世界一流医学院的目标而共同奋斗。</w:t>
      </w:r>
    </w:p>
    <w:p w:rsidR="00000D85" w:rsidRPr="00AB5AFE" w:rsidRDefault="00000D85" w:rsidP="00000D85">
      <w:pPr>
        <w:spacing w:line="360" w:lineRule="auto"/>
        <w:ind w:firstLineChars="200" w:firstLine="640"/>
        <w:jc w:val="left"/>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三、学院设立专职科研人员和博士后聘任和考核工作小组，由</w:t>
      </w:r>
      <w:r w:rsidRPr="00AB5AFE">
        <w:rPr>
          <w:rFonts w:ascii="仿宋_GB2312" w:eastAsia="仿宋_GB2312" w:hAnsi="宋体" w:cs="宋体"/>
          <w:color w:val="000000"/>
          <w:kern w:val="0"/>
          <w:sz w:val="32"/>
          <w:szCs w:val="32"/>
        </w:rPr>
        <w:t>5-7</w:t>
      </w:r>
      <w:r w:rsidRPr="00AB5AFE">
        <w:rPr>
          <w:rFonts w:ascii="仿宋_GB2312" w:eastAsia="仿宋_GB2312" w:hAnsi="宋体" w:cs="宋体" w:hint="eastAsia"/>
          <w:color w:val="000000"/>
          <w:kern w:val="0"/>
          <w:sz w:val="32"/>
          <w:szCs w:val="32"/>
        </w:rPr>
        <w:t>位正高级教授组成。该工作小组评议决定专职科研系列人员申请人的岗位定级意见和博士后入站人员的校级资助等级意见，并上报学校人事处。该小组还负责对专职科研人员和博士后进行年度及聘期考核。</w:t>
      </w:r>
    </w:p>
    <w:p w:rsidR="00000D85" w:rsidRPr="00AB5AFE" w:rsidRDefault="00000D85" w:rsidP="00000D85">
      <w:pPr>
        <w:pStyle w:val="a5"/>
        <w:adjustRightInd w:val="0"/>
        <w:spacing w:line="360" w:lineRule="auto"/>
        <w:ind w:firstLine="640"/>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四、专职科研系列人员包括特聘研究员、特聘副研究员、助理研究员和研究助理。博士后入站后经过学校资格认证，</w:t>
      </w:r>
      <w:r w:rsidRPr="00AB5AFE">
        <w:rPr>
          <w:rFonts w:ascii="仿宋_GB2312" w:eastAsia="仿宋_GB2312" w:hAnsi="宋体" w:cs="宋体" w:hint="eastAsia"/>
          <w:color w:val="000000"/>
          <w:kern w:val="0"/>
          <w:sz w:val="32"/>
          <w:szCs w:val="32"/>
        </w:rPr>
        <w:lastRenderedPageBreak/>
        <w:t>可授予助理研究员资格，薪酬待遇仍按照博士后的标准执行，不占合作导师的专职科研人员配额数。</w:t>
      </w:r>
    </w:p>
    <w:p w:rsidR="00000D85" w:rsidRPr="00AB5AFE" w:rsidRDefault="00000D85" w:rsidP="00000D85">
      <w:pPr>
        <w:pStyle w:val="a5"/>
        <w:adjustRightInd w:val="0"/>
        <w:spacing w:line="360" w:lineRule="auto"/>
        <w:ind w:firstLine="640"/>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五、专职科研系列人员和博士后是学院师资队伍的重要组成部分，人员信息在学院网站的“师资队伍”中列出。</w:t>
      </w:r>
    </w:p>
    <w:p w:rsidR="00000D85" w:rsidRPr="00AB5AFE" w:rsidRDefault="00000D85" w:rsidP="00000D85">
      <w:pPr>
        <w:pStyle w:val="a5"/>
        <w:adjustRightInd w:val="0"/>
        <w:spacing w:line="360" w:lineRule="auto"/>
        <w:ind w:firstLine="640"/>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六、学院鼓励专职科研系列人员以研究员、副研究员和助理研究员的身份，博士后人员以助理研究员身份申请科研基金和参加各种学术活动。</w:t>
      </w:r>
    </w:p>
    <w:p w:rsidR="00000D85" w:rsidRPr="00AB5AFE" w:rsidRDefault="00000D85" w:rsidP="00000D85">
      <w:pPr>
        <w:pStyle w:val="a5"/>
        <w:adjustRightInd w:val="0"/>
        <w:spacing w:line="360" w:lineRule="auto"/>
        <w:ind w:firstLine="640"/>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七、专职科研系列人员和博士后纳入学院年度奖励范畴。</w:t>
      </w:r>
    </w:p>
    <w:p w:rsidR="00000D85" w:rsidRPr="00AB5AFE" w:rsidRDefault="00000D85" w:rsidP="00000D85">
      <w:pPr>
        <w:pStyle w:val="a5"/>
        <w:adjustRightInd w:val="0"/>
        <w:spacing w:line="360" w:lineRule="auto"/>
        <w:ind w:firstLine="640"/>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八、根据学校政策，我院讲师队伍将逐渐缩减，除少数学科因教学需要设立讲师岗位外，原则上不再增添。专职科研系列人员和博士后将成为教授和副教授职务聘任的院内主要来源。特聘研究员或特聘副研究员可应聘教授或副教授职务。博士后出站后可直接应聘教授或副教授职务，也可应聘专职科研系列人员中的特聘研究员或特聘副研究员职务。</w:t>
      </w:r>
    </w:p>
    <w:p w:rsidR="00000D85" w:rsidRPr="00AB5AFE" w:rsidRDefault="00000D85" w:rsidP="00000D85">
      <w:pPr>
        <w:pStyle w:val="a5"/>
        <w:adjustRightInd w:val="0"/>
        <w:spacing w:line="360" w:lineRule="auto"/>
        <w:ind w:firstLine="640"/>
        <w:rPr>
          <w:rFonts w:ascii="仿宋_GB2312" w:eastAsia="仿宋_GB2312" w:hAnsi="宋体" w:cs="宋体"/>
          <w:color w:val="000000"/>
          <w:kern w:val="0"/>
          <w:sz w:val="32"/>
          <w:szCs w:val="32"/>
        </w:rPr>
      </w:pPr>
      <w:r w:rsidRPr="00AB5AFE">
        <w:rPr>
          <w:rFonts w:ascii="仿宋_GB2312" w:eastAsia="仿宋_GB2312" w:hAnsi="宋体" w:cs="宋体" w:hint="eastAsia"/>
          <w:color w:val="000000"/>
          <w:kern w:val="0"/>
          <w:sz w:val="32"/>
          <w:szCs w:val="32"/>
        </w:rPr>
        <w:t>九、学院鼓励专职科研系列人员和博士后申请参加教学工作，以培养教学能力。教学工作量由学院教学工作室认定，年平均工作量不超过</w:t>
      </w:r>
      <w:r w:rsidRPr="00AB5AFE">
        <w:rPr>
          <w:rFonts w:ascii="仿宋_GB2312" w:eastAsia="仿宋_GB2312" w:hAnsi="宋体" w:cs="宋体"/>
          <w:color w:val="000000"/>
          <w:kern w:val="0"/>
          <w:sz w:val="32"/>
          <w:szCs w:val="32"/>
        </w:rPr>
        <w:t>30</w:t>
      </w:r>
      <w:r w:rsidRPr="00AB5AFE">
        <w:rPr>
          <w:rFonts w:ascii="仿宋_GB2312" w:eastAsia="仿宋_GB2312" w:hAnsi="宋体" w:cs="宋体" w:hint="eastAsia"/>
          <w:color w:val="000000"/>
          <w:kern w:val="0"/>
          <w:sz w:val="32"/>
          <w:szCs w:val="32"/>
        </w:rPr>
        <w:t>学时，首次参加学院组织的教学培训时数计入教学工作量。聘任教授或副教授时，在同等条件下优先考虑有教学经历的应聘者。</w:t>
      </w:r>
    </w:p>
    <w:p w:rsidR="00A8607C" w:rsidRPr="00000D85" w:rsidRDefault="00000D85" w:rsidP="00000D85">
      <w:pPr>
        <w:spacing w:line="360" w:lineRule="auto"/>
        <w:ind w:firstLineChars="200" w:firstLine="640"/>
        <w:rPr>
          <w:rFonts w:ascii="仿宋_GB2312" w:eastAsia="仿宋_GB2312" w:hAnsi="宋体" w:cs="宋体"/>
          <w:color w:val="000000"/>
          <w:kern w:val="0"/>
          <w:sz w:val="32"/>
          <w:szCs w:val="32"/>
        </w:rPr>
      </w:pPr>
      <w:r w:rsidRPr="00AB5AFE">
        <w:rPr>
          <w:rFonts w:ascii="仿宋_GB2312" w:eastAsia="仿宋_GB2312" w:hAnsi="宋体" w:cs="宋体" w:hint="eastAsia"/>
          <w:kern w:val="0"/>
          <w:sz w:val="32"/>
          <w:szCs w:val="32"/>
        </w:rPr>
        <w:t>十、</w:t>
      </w:r>
      <w:r w:rsidRPr="00AB5AFE">
        <w:rPr>
          <w:rFonts w:ascii="仿宋_GB2312" w:eastAsia="仿宋_GB2312" w:hAnsi="宋体" w:cs="宋体" w:hint="eastAsia"/>
          <w:color w:val="000000"/>
          <w:kern w:val="0"/>
          <w:sz w:val="32"/>
          <w:szCs w:val="32"/>
        </w:rPr>
        <w:t>本文件由学院办公室负责解释，从发文之日起开始执行。本规定与中山大学相关规定若有不一致之处，以中山大学的规定为准。</w:t>
      </w:r>
    </w:p>
    <w:sectPr w:rsidR="00A8607C" w:rsidRPr="00000D85" w:rsidSect="00492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AA6" w:rsidRDefault="00170AA6" w:rsidP="00AD0BD0">
      <w:r>
        <w:separator/>
      </w:r>
    </w:p>
  </w:endnote>
  <w:endnote w:type="continuationSeparator" w:id="1">
    <w:p w:rsidR="00170AA6" w:rsidRDefault="00170AA6" w:rsidP="00AD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AA6" w:rsidRDefault="00170AA6" w:rsidP="00AD0BD0">
      <w:r>
        <w:separator/>
      </w:r>
    </w:p>
  </w:footnote>
  <w:footnote w:type="continuationSeparator" w:id="1">
    <w:p w:rsidR="00170AA6" w:rsidRDefault="00170AA6" w:rsidP="00AD0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134"/>
    <w:multiLevelType w:val="hybridMultilevel"/>
    <w:tmpl w:val="FD228E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8224F3"/>
    <w:multiLevelType w:val="hybridMultilevel"/>
    <w:tmpl w:val="8A64BCE8"/>
    <w:lvl w:ilvl="0" w:tplc="F2C659D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E255913"/>
    <w:multiLevelType w:val="hybridMultilevel"/>
    <w:tmpl w:val="DA5CB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0848B7"/>
    <w:multiLevelType w:val="hybridMultilevel"/>
    <w:tmpl w:val="E3CEDB4E"/>
    <w:lvl w:ilvl="0" w:tplc="281E71B6">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7386D63"/>
    <w:multiLevelType w:val="hybridMultilevel"/>
    <w:tmpl w:val="714E3E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28662B"/>
    <w:multiLevelType w:val="hybridMultilevel"/>
    <w:tmpl w:val="12CC8A4A"/>
    <w:lvl w:ilvl="0" w:tplc="52A84742">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9360578"/>
    <w:multiLevelType w:val="hybridMultilevel"/>
    <w:tmpl w:val="D840C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721E6"/>
    <w:multiLevelType w:val="hybridMultilevel"/>
    <w:tmpl w:val="5602E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3908BC"/>
    <w:multiLevelType w:val="hybridMultilevel"/>
    <w:tmpl w:val="9E0E00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EA284A"/>
    <w:multiLevelType w:val="hybridMultilevel"/>
    <w:tmpl w:val="AFD89EDE"/>
    <w:lvl w:ilvl="0" w:tplc="8C2CFF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7ED1514"/>
    <w:multiLevelType w:val="hybridMultilevel"/>
    <w:tmpl w:val="A98E5EE6"/>
    <w:lvl w:ilvl="0" w:tplc="9F9CD53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7FF65F19"/>
    <w:multiLevelType w:val="hybridMultilevel"/>
    <w:tmpl w:val="324CD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1"/>
  </w:num>
  <w:num w:numId="4">
    <w:abstractNumId w:val="9"/>
  </w:num>
  <w:num w:numId="5">
    <w:abstractNumId w:val="8"/>
  </w:num>
  <w:num w:numId="6">
    <w:abstractNumId w:val="0"/>
  </w:num>
  <w:num w:numId="7">
    <w:abstractNumId w:val="4"/>
  </w:num>
  <w:num w:numId="8">
    <w:abstractNumId w:val="2"/>
  </w:num>
  <w:num w:numId="9">
    <w:abstractNumId w:val="11"/>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40B"/>
    <w:rsid w:val="00000D85"/>
    <w:rsid w:val="00023CD9"/>
    <w:rsid w:val="000501D7"/>
    <w:rsid w:val="00050F18"/>
    <w:rsid w:val="00057089"/>
    <w:rsid w:val="00072AB4"/>
    <w:rsid w:val="00095BED"/>
    <w:rsid w:val="000A5696"/>
    <w:rsid w:val="000E040B"/>
    <w:rsid w:val="000F6106"/>
    <w:rsid w:val="00114646"/>
    <w:rsid w:val="00117FE2"/>
    <w:rsid w:val="00132770"/>
    <w:rsid w:val="00151458"/>
    <w:rsid w:val="00152B22"/>
    <w:rsid w:val="00163319"/>
    <w:rsid w:val="00170AA6"/>
    <w:rsid w:val="001A7C6E"/>
    <w:rsid w:val="001E654D"/>
    <w:rsid w:val="002234E4"/>
    <w:rsid w:val="00237FBE"/>
    <w:rsid w:val="002C0FE1"/>
    <w:rsid w:val="002C452F"/>
    <w:rsid w:val="002F20E5"/>
    <w:rsid w:val="002F454E"/>
    <w:rsid w:val="00314D60"/>
    <w:rsid w:val="00316386"/>
    <w:rsid w:val="00376F89"/>
    <w:rsid w:val="003972D1"/>
    <w:rsid w:val="003A0D5E"/>
    <w:rsid w:val="003A6A6A"/>
    <w:rsid w:val="003D69C3"/>
    <w:rsid w:val="004522E0"/>
    <w:rsid w:val="00492F02"/>
    <w:rsid w:val="004B3507"/>
    <w:rsid w:val="004D3E65"/>
    <w:rsid w:val="004F473B"/>
    <w:rsid w:val="00500AA7"/>
    <w:rsid w:val="00522CF8"/>
    <w:rsid w:val="00540000"/>
    <w:rsid w:val="00580479"/>
    <w:rsid w:val="00587D86"/>
    <w:rsid w:val="005A6BC2"/>
    <w:rsid w:val="005B12CA"/>
    <w:rsid w:val="005E6DCC"/>
    <w:rsid w:val="00622633"/>
    <w:rsid w:val="0067452A"/>
    <w:rsid w:val="006A132A"/>
    <w:rsid w:val="006C1C1F"/>
    <w:rsid w:val="006C2A7B"/>
    <w:rsid w:val="00701DB0"/>
    <w:rsid w:val="00704E9D"/>
    <w:rsid w:val="007066F0"/>
    <w:rsid w:val="00715398"/>
    <w:rsid w:val="0075304C"/>
    <w:rsid w:val="007F404E"/>
    <w:rsid w:val="007F6975"/>
    <w:rsid w:val="00800ABD"/>
    <w:rsid w:val="00814331"/>
    <w:rsid w:val="00837553"/>
    <w:rsid w:val="00841656"/>
    <w:rsid w:val="00844B39"/>
    <w:rsid w:val="00864178"/>
    <w:rsid w:val="00867829"/>
    <w:rsid w:val="0087116A"/>
    <w:rsid w:val="0089251D"/>
    <w:rsid w:val="008C2638"/>
    <w:rsid w:val="008E0606"/>
    <w:rsid w:val="00901089"/>
    <w:rsid w:val="00916166"/>
    <w:rsid w:val="0091717F"/>
    <w:rsid w:val="0092361A"/>
    <w:rsid w:val="0093064C"/>
    <w:rsid w:val="00964ABC"/>
    <w:rsid w:val="0097104B"/>
    <w:rsid w:val="009800DB"/>
    <w:rsid w:val="009879D6"/>
    <w:rsid w:val="00991255"/>
    <w:rsid w:val="009B123D"/>
    <w:rsid w:val="009B6030"/>
    <w:rsid w:val="009E221A"/>
    <w:rsid w:val="00A10569"/>
    <w:rsid w:val="00A155FD"/>
    <w:rsid w:val="00A52106"/>
    <w:rsid w:val="00A55E48"/>
    <w:rsid w:val="00A61EED"/>
    <w:rsid w:val="00A83890"/>
    <w:rsid w:val="00A8607C"/>
    <w:rsid w:val="00A875FB"/>
    <w:rsid w:val="00A976DC"/>
    <w:rsid w:val="00AD0BD0"/>
    <w:rsid w:val="00AF3975"/>
    <w:rsid w:val="00AF765C"/>
    <w:rsid w:val="00B1355C"/>
    <w:rsid w:val="00B273FA"/>
    <w:rsid w:val="00B41C31"/>
    <w:rsid w:val="00B4377F"/>
    <w:rsid w:val="00B9176A"/>
    <w:rsid w:val="00B917B3"/>
    <w:rsid w:val="00BC48E0"/>
    <w:rsid w:val="00C20734"/>
    <w:rsid w:val="00C34E91"/>
    <w:rsid w:val="00C87EC3"/>
    <w:rsid w:val="00C9413A"/>
    <w:rsid w:val="00CA146F"/>
    <w:rsid w:val="00CA793C"/>
    <w:rsid w:val="00D21880"/>
    <w:rsid w:val="00D23661"/>
    <w:rsid w:val="00D53DBA"/>
    <w:rsid w:val="00D56791"/>
    <w:rsid w:val="00D96028"/>
    <w:rsid w:val="00DA0377"/>
    <w:rsid w:val="00DA2995"/>
    <w:rsid w:val="00DD360D"/>
    <w:rsid w:val="00DE45B3"/>
    <w:rsid w:val="00DE7780"/>
    <w:rsid w:val="00DF56F8"/>
    <w:rsid w:val="00E00C12"/>
    <w:rsid w:val="00E4436A"/>
    <w:rsid w:val="00E65575"/>
    <w:rsid w:val="00E8206F"/>
    <w:rsid w:val="00EB57DC"/>
    <w:rsid w:val="00ED19D4"/>
    <w:rsid w:val="00EE5385"/>
    <w:rsid w:val="00F057BD"/>
    <w:rsid w:val="00F06245"/>
    <w:rsid w:val="00F12AB5"/>
    <w:rsid w:val="00F37E09"/>
    <w:rsid w:val="00F41661"/>
    <w:rsid w:val="00FC2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0BD0"/>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sid w:val="00AD0BD0"/>
    <w:rPr>
      <w:sz w:val="18"/>
    </w:rPr>
  </w:style>
  <w:style w:type="paragraph" w:styleId="a4">
    <w:name w:val="footer"/>
    <w:basedOn w:val="a"/>
    <w:link w:val="Char0"/>
    <w:uiPriority w:val="99"/>
    <w:rsid w:val="00AD0BD0"/>
    <w:pPr>
      <w:tabs>
        <w:tab w:val="center" w:pos="4153"/>
        <w:tab w:val="right" w:pos="8306"/>
      </w:tabs>
      <w:snapToGrid w:val="0"/>
      <w:jc w:val="left"/>
    </w:pPr>
    <w:rPr>
      <w:kern w:val="0"/>
      <w:sz w:val="18"/>
      <w:szCs w:val="20"/>
    </w:rPr>
  </w:style>
  <w:style w:type="character" w:customStyle="1" w:styleId="Char0">
    <w:name w:val="页脚 Char"/>
    <w:link w:val="a4"/>
    <w:uiPriority w:val="99"/>
    <w:locked/>
    <w:rsid w:val="00AD0BD0"/>
    <w:rPr>
      <w:sz w:val="18"/>
    </w:rPr>
  </w:style>
  <w:style w:type="paragraph" w:styleId="a5">
    <w:name w:val="List Paragraph"/>
    <w:basedOn w:val="a"/>
    <w:uiPriority w:val="99"/>
    <w:qFormat/>
    <w:rsid w:val="00023CD9"/>
    <w:pPr>
      <w:ind w:firstLineChars="200" w:firstLine="420"/>
    </w:pPr>
  </w:style>
  <w:style w:type="character" w:styleId="a6">
    <w:name w:val="Hyperlink"/>
    <w:uiPriority w:val="99"/>
    <w:rsid w:val="00050F18"/>
    <w:rPr>
      <w:rFonts w:cs="Times New Roman"/>
      <w:color w:val="0000FF"/>
      <w:u w:val="single"/>
    </w:rPr>
  </w:style>
  <w:style w:type="character" w:styleId="a7">
    <w:name w:val="FollowedHyperlink"/>
    <w:uiPriority w:val="99"/>
    <w:semiHidden/>
    <w:rsid w:val="00050F18"/>
    <w:rPr>
      <w:rFonts w:cs="Times New Roman"/>
      <w:color w:val="800080"/>
      <w:u w:val="single"/>
    </w:rPr>
  </w:style>
  <w:style w:type="paragraph" w:styleId="a8">
    <w:name w:val="Date"/>
    <w:basedOn w:val="a"/>
    <w:next w:val="a"/>
    <w:link w:val="Char1"/>
    <w:uiPriority w:val="99"/>
    <w:rsid w:val="00901089"/>
    <w:pPr>
      <w:ind w:leftChars="2500" w:left="100"/>
    </w:pPr>
    <w:rPr>
      <w:kern w:val="0"/>
      <w:sz w:val="20"/>
      <w:szCs w:val="20"/>
    </w:rPr>
  </w:style>
  <w:style w:type="character" w:customStyle="1" w:styleId="Char1">
    <w:name w:val="日期 Char"/>
    <w:basedOn w:val="a0"/>
    <w:link w:val="a8"/>
    <w:uiPriority w:val="99"/>
    <w:semiHidden/>
    <w:locked/>
    <w:rsid w:val="004B3507"/>
  </w:style>
  <w:style w:type="paragraph" w:styleId="a9">
    <w:name w:val="Balloon Text"/>
    <w:basedOn w:val="a"/>
    <w:link w:val="Char2"/>
    <w:uiPriority w:val="99"/>
    <w:semiHidden/>
    <w:unhideWhenUsed/>
    <w:rsid w:val="00D56791"/>
    <w:rPr>
      <w:kern w:val="0"/>
      <w:sz w:val="18"/>
      <w:szCs w:val="18"/>
    </w:rPr>
  </w:style>
  <w:style w:type="character" w:customStyle="1" w:styleId="Char2">
    <w:name w:val="批注框文本 Char"/>
    <w:link w:val="a9"/>
    <w:uiPriority w:val="99"/>
    <w:semiHidden/>
    <w:rsid w:val="00D56791"/>
    <w:rPr>
      <w:sz w:val="18"/>
      <w:szCs w:val="18"/>
    </w:rPr>
  </w:style>
  <w:style w:type="paragraph" w:styleId="aa">
    <w:name w:val="Normal (Web)"/>
    <w:basedOn w:val="a"/>
    <w:rsid w:val="00C34E9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locked/>
    <w:rsid w:val="00C34E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146</Words>
  <Characters>834</Characters>
  <Application>Microsoft Office Word</Application>
  <DocSecurity>0</DocSecurity>
  <Lines>6</Lines>
  <Paragraphs>1</Paragraphs>
  <ScaleCrop>false</ScaleCrop>
  <Company>China</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中山医〔2013〕？？号 </dc:title>
  <dc:subject/>
  <dc:creator>User</dc:creator>
  <cp:keywords/>
  <dc:description/>
  <cp:lastModifiedBy>lovetiger</cp:lastModifiedBy>
  <cp:revision>2</cp:revision>
  <cp:lastPrinted>2015-05-25T02:13:00Z</cp:lastPrinted>
  <dcterms:created xsi:type="dcterms:W3CDTF">2015-05-25T07:20:00Z</dcterms:created>
  <dcterms:modified xsi:type="dcterms:W3CDTF">2015-05-25T07:20:00Z</dcterms:modified>
</cp:coreProperties>
</file>