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cs="宋体"/>
          <w:bCs/>
          <w:color w:val="000000"/>
          <w:kern w:val="0"/>
          <w:sz w:val="32"/>
          <w:szCs w:val="32"/>
        </w:rPr>
      </w:pPr>
      <w:bookmarkStart w:id="0" w:name="_GoBack"/>
      <w:bookmarkEnd w:id="0"/>
      <w:r>
        <w:rPr>
          <w:rFonts w:hint="eastAsia" w:ascii="仿宋_GB2312" w:hAnsi="华文中宋" w:eastAsia="仿宋_GB2312" w:cs="宋体"/>
          <w:bCs/>
          <w:color w:val="000000"/>
          <w:kern w:val="0"/>
          <w:sz w:val="32"/>
          <w:szCs w:val="32"/>
        </w:rPr>
        <w:t>附件二：</w:t>
      </w:r>
    </w:p>
    <w:p>
      <w:pPr>
        <w:spacing w:beforeLines="50" w:line="520" w:lineRule="exact"/>
        <w:jc w:val="center"/>
        <w:rPr>
          <w:rFonts w:ascii="宋体" w:hAnsi="宋体"/>
          <w:b/>
          <w:sz w:val="44"/>
          <w:szCs w:val="44"/>
        </w:rPr>
      </w:pPr>
      <w:r>
        <w:rPr>
          <w:rFonts w:hint="eastAsia" w:ascii="宋体" w:hAnsi="宋体"/>
          <w:b/>
          <w:sz w:val="44"/>
          <w:szCs w:val="44"/>
        </w:rPr>
        <w:t>法医学和医学检验技术专业本科生学业导师和专业导师制实施方案</w:t>
      </w:r>
    </w:p>
    <w:p>
      <w:pPr>
        <w:spacing w:beforeLines="50" w:line="520" w:lineRule="exact"/>
        <w:jc w:val="center"/>
        <w:rPr>
          <w:rFonts w:ascii="仿宋_GB2312" w:hAnsi="Calibri" w:eastAsia="仿宋_GB2312"/>
          <w:sz w:val="28"/>
          <w:szCs w:val="28"/>
        </w:rPr>
      </w:pPr>
    </w:p>
    <w:p>
      <w:pPr>
        <w:spacing w:line="520" w:lineRule="exact"/>
        <w:ind w:left="-420" w:leftChars="-200" w:right="-212" w:rightChars="-101"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为落实“德才兼备，领袖气质，家国情怀”的人才培养目标，增强学生创新能力和科研素质，全面提升法医学和医学检验技术专业本科生的培养质量，提高升学率，拟在法医学专业本科生第二至四学年上半年建立学业导师制度，在第四学年下半年至五学年实行专业导师负责制；在医学检验技术专业本科生第二至三学年设立学业导师制度，在第四学年实行专业导师负责制。具体方案如下：</w:t>
      </w:r>
    </w:p>
    <w:p>
      <w:pPr>
        <w:spacing w:line="52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1.学业导师资格：具有高水平研究能力和拥有开展科学研究必备的实验室空间的本学院和本系教授或博士生导师，年龄原则上不超过62周岁。</w:t>
      </w:r>
    </w:p>
    <w:p>
      <w:pPr>
        <w:spacing w:line="52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2.专业导师资格：在法医学系和医学检验系内的具有博士学位或副高级职称的教师。 </w:t>
      </w:r>
    </w:p>
    <w:p>
      <w:pPr>
        <w:spacing w:line="52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学业导师遴选办法：在第二学年秋季学期九月份开始，启动学业导师遴选程序。学生通过学院网站等渠道了解学院教授的科研情况，自行联系导师；导师根据报名情况组织面试，实行双向选择，每名导师每年只能接收我院所有本科专业中的一名本科生，直至学生分配结束为止。10月31日前，学生需确定导师并提交学业导师申请表（导师需签字），具体工作由本科教学工作室负责组织实施。学业导师在安排导师组活动时要给学生预留出足够的课程学习时间。</w:t>
      </w:r>
    </w:p>
    <w:p>
      <w:pPr>
        <w:spacing w:line="52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学业导师职责：导师必须建立和学生指导交流的途径，安排好学生进入实验室的具体带教人员和计划。一个月最少有一次与学生面对面的交流，对学生的专业思想、专业学习、科研培养和就业规划等给予指导和帮助，培养学生初步科研训练，阅读文献综述等能力；学生应尽量参加导师的lab meeting或参与课题研究等科研活动，在每学年结束后，导师和学生需上交工作记录；学业导师在学生完成学业培养后一个月内向学院本科教学工作室提交不少于800字的培养报告。未按要求完成者，停止接收学生两年。</w:t>
      </w:r>
    </w:p>
    <w:p>
      <w:pPr>
        <w:spacing w:line="52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5.本科教学工作室负责编写学生和导师手册。</w:t>
      </w:r>
    </w:p>
    <w:p>
      <w:pPr>
        <w:spacing w:line="52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6.专业导师及其职责由系组织和安排。</w:t>
      </w:r>
    </w:p>
    <w:p>
      <w:pPr>
        <w:rPr>
          <w:rFonts w:ascii="仿宋_GB2312" w:hAnsi="华文中宋" w:eastAsia="仿宋_GB2312" w:cs="宋体"/>
          <w:bCs/>
          <w:color w:val="000000"/>
          <w:kern w:val="0"/>
          <w:sz w:val="32"/>
          <w:szCs w:val="32"/>
        </w:rPr>
      </w:pPr>
    </w:p>
    <w:p>
      <w:pPr>
        <w:rPr>
          <w:rFonts w:ascii="仿宋_GB2312" w:hAnsi="华文中宋" w:eastAsia="仿宋_GB2312" w:cs="宋体"/>
          <w:bCs/>
          <w:color w:val="000000"/>
          <w:kern w:val="0"/>
          <w:sz w:val="32"/>
          <w:szCs w:val="32"/>
        </w:rPr>
      </w:pPr>
    </w:p>
    <w:p>
      <w:pPr>
        <w:rPr>
          <w:rFonts w:ascii="仿宋_GB2312" w:hAnsi="华文中宋" w:eastAsia="仿宋_GB2312" w:cs="宋体"/>
          <w:bCs/>
          <w:color w:val="000000"/>
          <w:kern w:val="0"/>
          <w:sz w:val="32"/>
          <w:szCs w:val="32"/>
        </w:rPr>
      </w:pPr>
    </w:p>
    <w:p>
      <w:pPr>
        <w:rPr>
          <w:rFonts w:ascii="仿宋_GB2312" w:hAnsi="华文中宋" w:eastAsia="仿宋_GB2312" w:cs="宋体"/>
          <w:bCs/>
          <w:color w:val="000000"/>
          <w:kern w:val="0"/>
          <w:sz w:val="32"/>
          <w:szCs w:val="32"/>
        </w:rPr>
      </w:pPr>
    </w:p>
    <w:p>
      <w:pPr>
        <w:rPr>
          <w:rFonts w:ascii="仿宋_GB2312" w:hAnsi="华文中宋" w:eastAsia="仿宋_GB2312" w:cs="宋体"/>
          <w:bCs/>
          <w:color w:val="000000"/>
          <w:kern w:val="0"/>
          <w:sz w:val="32"/>
          <w:szCs w:val="32"/>
        </w:rPr>
      </w:pPr>
    </w:p>
    <w:p>
      <w:pPr>
        <w:jc w:val="left"/>
        <w:rPr>
          <w:sz w:val="32"/>
          <w:szCs w:val="32"/>
        </w:rPr>
      </w:pPr>
    </w:p>
    <w:p>
      <w:pPr>
        <w:jc w:val="left"/>
        <w:rPr>
          <w:sz w:val="32"/>
          <w:szCs w:val="32"/>
        </w:rPr>
      </w:pPr>
    </w:p>
    <w:p>
      <w:pPr>
        <w:jc w:val="left"/>
        <w:rPr>
          <w:sz w:val="32"/>
          <w:szCs w:val="32"/>
        </w:rPr>
      </w:pPr>
    </w:p>
    <w:p>
      <w:pPr>
        <w:jc w:val="left"/>
        <w:rPr>
          <w:sz w:val="32"/>
          <w:szCs w:val="32"/>
        </w:rPr>
      </w:pPr>
    </w:p>
    <w:p>
      <w:pPr>
        <w:jc w:val="left"/>
        <w:rPr>
          <w:sz w:val="32"/>
          <w:szCs w:val="32"/>
        </w:rPr>
      </w:pPr>
    </w:p>
    <w:p>
      <w:pPr>
        <w:jc w:val="left"/>
        <w:rPr>
          <w:sz w:val="32"/>
          <w:szCs w:val="32"/>
        </w:rPr>
      </w:pPr>
    </w:p>
    <w:p>
      <w:pPr>
        <w:jc w:val="left"/>
        <w:rPr>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5226"/>
    <w:rsid w:val="000117B0"/>
    <w:rsid w:val="00036CB2"/>
    <w:rsid w:val="000522FC"/>
    <w:rsid w:val="00113615"/>
    <w:rsid w:val="00132685"/>
    <w:rsid w:val="00156EF3"/>
    <w:rsid w:val="00162E57"/>
    <w:rsid w:val="00183B5A"/>
    <w:rsid w:val="00191BC0"/>
    <w:rsid w:val="001E5101"/>
    <w:rsid w:val="00220F23"/>
    <w:rsid w:val="00221434"/>
    <w:rsid w:val="00222F3A"/>
    <w:rsid w:val="00261E63"/>
    <w:rsid w:val="0026547C"/>
    <w:rsid w:val="002730D1"/>
    <w:rsid w:val="002740D2"/>
    <w:rsid w:val="002A04D8"/>
    <w:rsid w:val="00344F69"/>
    <w:rsid w:val="003A0977"/>
    <w:rsid w:val="003A7E9E"/>
    <w:rsid w:val="003F2DB9"/>
    <w:rsid w:val="0045591E"/>
    <w:rsid w:val="004C2E96"/>
    <w:rsid w:val="004F499D"/>
    <w:rsid w:val="00505226"/>
    <w:rsid w:val="00506E61"/>
    <w:rsid w:val="005252F1"/>
    <w:rsid w:val="00560A79"/>
    <w:rsid w:val="00586EF0"/>
    <w:rsid w:val="005A07AC"/>
    <w:rsid w:val="005B1D71"/>
    <w:rsid w:val="005B7A0C"/>
    <w:rsid w:val="005C69AD"/>
    <w:rsid w:val="005C794B"/>
    <w:rsid w:val="005F2D95"/>
    <w:rsid w:val="00614985"/>
    <w:rsid w:val="0061791F"/>
    <w:rsid w:val="0062071B"/>
    <w:rsid w:val="006E398D"/>
    <w:rsid w:val="00716723"/>
    <w:rsid w:val="00716BE0"/>
    <w:rsid w:val="00781F5C"/>
    <w:rsid w:val="00791FDC"/>
    <w:rsid w:val="007D67BC"/>
    <w:rsid w:val="008273BA"/>
    <w:rsid w:val="008467EF"/>
    <w:rsid w:val="00867AA5"/>
    <w:rsid w:val="008B1687"/>
    <w:rsid w:val="008C2C9F"/>
    <w:rsid w:val="008D3767"/>
    <w:rsid w:val="00916955"/>
    <w:rsid w:val="009204EA"/>
    <w:rsid w:val="009415CC"/>
    <w:rsid w:val="00957513"/>
    <w:rsid w:val="00963BED"/>
    <w:rsid w:val="00986E3D"/>
    <w:rsid w:val="00996B13"/>
    <w:rsid w:val="009C2497"/>
    <w:rsid w:val="009D1F45"/>
    <w:rsid w:val="009E7256"/>
    <w:rsid w:val="00A52DE5"/>
    <w:rsid w:val="00A7017D"/>
    <w:rsid w:val="00A94564"/>
    <w:rsid w:val="00AB5D51"/>
    <w:rsid w:val="00AD5AAB"/>
    <w:rsid w:val="00AE6392"/>
    <w:rsid w:val="00B242D5"/>
    <w:rsid w:val="00B25627"/>
    <w:rsid w:val="00B31AEA"/>
    <w:rsid w:val="00B960A1"/>
    <w:rsid w:val="00BB641B"/>
    <w:rsid w:val="00C17B62"/>
    <w:rsid w:val="00C2290B"/>
    <w:rsid w:val="00CA0E66"/>
    <w:rsid w:val="00CE05FF"/>
    <w:rsid w:val="00CE639A"/>
    <w:rsid w:val="00CF7C59"/>
    <w:rsid w:val="00D24D28"/>
    <w:rsid w:val="00D675E0"/>
    <w:rsid w:val="00D821C2"/>
    <w:rsid w:val="00D95B39"/>
    <w:rsid w:val="00D96576"/>
    <w:rsid w:val="00DB55EC"/>
    <w:rsid w:val="00DF02E4"/>
    <w:rsid w:val="00DF1203"/>
    <w:rsid w:val="00E31CF7"/>
    <w:rsid w:val="00E41B2C"/>
    <w:rsid w:val="00E7278E"/>
    <w:rsid w:val="00EC2CCE"/>
    <w:rsid w:val="00ED6DEC"/>
    <w:rsid w:val="00EF7971"/>
    <w:rsid w:val="00F02C3B"/>
    <w:rsid w:val="00F164B3"/>
    <w:rsid w:val="00F653EE"/>
    <w:rsid w:val="00F66E1A"/>
    <w:rsid w:val="00FD43A2"/>
    <w:rsid w:val="00FF6318"/>
    <w:rsid w:val="00FF6475"/>
    <w:rsid w:val="1AC508A4"/>
    <w:rsid w:val="2C487AF9"/>
    <w:rsid w:val="458B4C4A"/>
    <w:rsid w:val="4F306CC4"/>
    <w:rsid w:val="55CE7286"/>
    <w:rsid w:val="589D07B4"/>
    <w:rsid w:val="69460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 w:type="paragraph" w:customStyle="1" w:styleId="11">
    <w:name w:val="列出段落2"/>
    <w:basedOn w:val="1"/>
    <w:unhideWhenUsed/>
    <w:qFormat/>
    <w:uiPriority w:val="99"/>
    <w:pPr>
      <w:ind w:firstLine="420" w:firstLineChars="200"/>
    </w:pPr>
  </w:style>
  <w:style w:type="character" w:customStyle="1" w:styleId="12">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922CE-AAD6-4B36-BDFB-C487250E4DA0}">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4</Pages>
  <Words>252</Words>
  <Characters>1442</Characters>
  <Lines>12</Lines>
  <Paragraphs>3</Paragraphs>
  <ScaleCrop>false</ScaleCrop>
  <LinksUpToDate>false</LinksUpToDate>
  <CharactersWithSpaces>1691</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2017-09-14T08:04:00Z</dcterms:created>
  <dc:creator>jun</dc:creator>
  <cp:lastModifiedBy>cs</cp:lastModifiedBy>
  <cp:lastPrinted>2016-10-12T09:05:00Z</cp:lastPrinted>
  <dcterms:modified xsi:type="dcterms:W3CDTF">2017-09-15T07:51:21Z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