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09" w:rsidRDefault="000970A9">
      <w:pPr>
        <w:jc w:val="center"/>
        <w:rPr>
          <w:rFonts w:ascii="仿宋" w:eastAsia="仿宋" w:hAnsi="仿宋" w:cs="仿宋"/>
          <w:sz w:val="32"/>
          <w:szCs w:val="32"/>
        </w:rPr>
      </w:pPr>
      <w:bookmarkStart w:id="0" w:name="_GoBack"/>
      <w:bookmarkEnd w:id="0"/>
      <w:r>
        <w:rPr>
          <w:rFonts w:ascii="仿宋" w:eastAsia="仿宋" w:hAnsi="仿宋" w:cs="仿宋" w:hint="eastAsia"/>
          <w:b/>
          <w:bCs/>
          <w:sz w:val="32"/>
          <w:szCs w:val="32"/>
        </w:rPr>
        <w:t>新型冠状病毒实验室生物安全指南（第二版）</w:t>
      </w:r>
    </w:p>
    <w:p w:rsidR="00AA5D09" w:rsidRDefault="000970A9">
      <w:pPr>
        <w:rPr>
          <w:rFonts w:ascii="仿宋" w:eastAsia="仿宋" w:hAnsi="仿宋" w:cs="仿宋"/>
          <w:sz w:val="32"/>
          <w:szCs w:val="32"/>
        </w:rPr>
      </w:pPr>
      <w:r>
        <w:rPr>
          <w:rFonts w:ascii="仿宋" w:eastAsia="仿宋" w:hAnsi="仿宋" w:cs="仿宋" w:hint="eastAsia"/>
          <w:sz w:val="32"/>
          <w:szCs w:val="32"/>
        </w:rPr>
        <w:t> </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根据目前掌握的新型冠状病毒生物学特点、流行病学特征、致病性、临床表现等信息，该病原体暂按照病原微生物危害程度分类中第二类病原微生物进行管理。</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一、实验活动生物安全要求</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一）病毒培养：指病毒的分离、培养、滴定、中和试验、活病毒及其蛋白纯化、病毒冻干以及产生活病毒的重组实验等操作。上述操作应当在生物安全三级实验室内进行。使用病毒培养物提取核酸，裂解剂或灭活剂的加入必须在与病毒培养等同级别的实验室和防护条件下进行，裂解剂或灭活剂加入后可比照未经培养的感染性材料的防护等级进行操作。实验室开展相关活动前，应当报经国家卫生健康委批准，取得开展相应活动的资质。</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（二）动物感染实验：指以活病毒感染动物、感染动物取样、感染性样本处理和检测、感染动物特殊检查、感染动物排泄物处理等实</w:t>
      </w:r>
      <w:r>
        <w:rPr>
          <w:rFonts w:ascii="仿宋" w:eastAsia="仿宋" w:hAnsi="仿宋" w:cs="仿宋" w:hint="eastAsia"/>
          <w:sz w:val="32"/>
          <w:szCs w:val="32"/>
        </w:rPr>
        <w:t>验操作，应当在生物安全三级实验室操作。实验室开展相关活动前，应当报经国家卫生健康委批准，取得开展相应活动的资质。</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（三）未经培养的感染性材料的操作：指未经培养的感染性材料在采用可靠的方法灭活前进行的病毒抗原检测、血清学检测、核酸提取、生化分析，以及临床样本的灭活等操</w:t>
      </w:r>
      <w:r>
        <w:rPr>
          <w:rFonts w:ascii="仿宋" w:eastAsia="仿宋" w:hAnsi="仿宋" w:cs="仿宋" w:hint="eastAsia"/>
          <w:sz w:val="32"/>
          <w:szCs w:val="32"/>
        </w:rPr>
        <w:lastRenderedPageBreak/>
        <w:t>作，应当在生物安全二级实验室进行，同时采用生物安全三级实验室的个人防护。</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（四）灭活材料的操作：感染性材料或活病毒在采用可靠的方法灭活后进行的核酸检测、抗原检测、血清学检测、生化分析等操作应当在生物安全二级实验室进行。分子克隆等不含致病性</w:t>
      </w:r>
      <w:r>
        <w:rPr>
          <w:rFonts w:ascii="仿宋" w:eastAsia="仿宋" w:hAnsi="仿宋" w:cs="仿宋" w:hint="eastAsia"/>
          <w:sz w:val="32"/>
          <w:szCs w:val="32"/>
        </w:rPr>
        <w:t>活病毒的其他操作，可以在生物安全一级实验室进行。</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二、病原体及样本运输和管理   </w:t>
      </w:r>
      <w:r>
        <w:rPr>
          <w:rFonts w:ascii="仿宋" w:eastAsia="仿宋" w:hAnsi="仿宋" w:cs="仿宋" w:hint="eastAsia"/>
          <w:sz w:val="32"/>
          <w:szCs w:val="32"/>
        </w:rPr>
        <w:t>                   </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（一）国内运输：新型冠状病毒毒株或其他潜在感染性生物材料的运输包装分类属于</w:t>
      </w:r>
      <w:r>
        <w:rPr>
          <w:rFonts w:ascii="仿宋" w:eastAsia="仿宋" w:hAnsi="仿宋" w:cs="仿宋" w:hint="eastAsia"/>
          <w:sz w:val="32"/>
          <w:szCs w:val="32"/>
        </w:rPr>
        <w:t>A</w:t>
      </w:r>
      <w:r>
        <w:rPr>
          <w:rFonts w:ascii="仿宋" w:eastAsia="仿宋" w:hAnsi="仿宋" w:cs="仿宋" w:hint="eastAsia"/>
          <w:sz w:val="32"/>
          <w:szCs w:val="32"/>
        </w:rPr>
        <w:t>类，对应的联合国编号为</w:t>
      </w:r>
      <w:r>
        <w:rPr>
          <w:rFonts w:ascii="仿宋" w:eastAsia="仿宋" w:hAnsi="仿宋" w:cs="仿宋" w:hint="eastAsia"/>
          <w:sz w:val="32"/>
          <w:szCs w:val="32"/>
        </w:rPr>
        <w:t>UN2814</w:t>
      </w:r>
      <w:r>
        <w:rPr>
          <w:rFonts w:ascii="仿宋" w:eastAsia="仿宋" w:hAnsi="仿宋" w:cs="仿宋" w:hint="eastAsia"/>
          <w:sz w:val="32"/>
          <w:szCs w:val="32"/>
        </w:rPr>
        <w:t>，包装符合国际民航组织文件</w:t>
      </w:r>
      <w:r>
        <w:rPr>
          <w:rFonts w:ascii="仿宋" w:eastAsia="仿宋" w:hAnsi="仿宋" w:cs="仿宋" w:hint="eastAsia"/>
          <w:sz w:val="32"/>
          <w:szCs w:val="32"/>
        </w:rPr>
        <w:t>Doc9284</w:t>
      </w:r>
      <w:r>
        <w:rPr>
          <w:rFonts w:ascii="仿宋" w:eastAsia="仿宋" w:hAnsi="仿宋" w:cs="仿宋" w:hint="eastAsia"/>
          <w:sz w:val="32"/>
          <w:szCs w:val="32"/>
        </w:rPr>
        <w:t>《危险品航空安全运输技术细则》的</w:t>
      </w:r>
      <w:r>
        <w:rPr>
          <w:rFonts w:ascii="仿宋" w:eastAsia="仿宋" w:hAnsi="仿宋" w:cs="仿宋" w:hint="eastAsia"/>
          <w:sz w:val="32"/>
          <w:szCs w:val="32"/>
        </w:rPr>
        <w:t>PI602</w:t>
      </w:r>
      <w:r>
        <w:rPr>
          <w:rFonts w:ascii="仿宋" w:eastAsia="仿宋" w:hAnsi="仿宋" w:cs="仿宋" w:hint="eastAsia"/>
          <w:sz w:val="32"/>
          <w:szCs w:val="32"/>
        </w:rPr>
        <w:t>分类包装要求；环境样本属于</w:t>
      </w:r>
      <w:r>
        <w:rPr>
          <w:rFonts w:ascii="仿宋" w:eastAsia="仿宋" w:hAnsi="仿宋" w:cs="仿宋" w:hint="eastAsia"/>
          <w:sz w:val="32"/>
          <w:szCs w:val="32"/>
        </w:rPr>
        <w:t>B</w:t>
      </w:r>
      <w:r>
        <w:rPr>
          <w:rFonts w:ascii="仿宋" w:eastAsia="仿宋" w:hAnsi="仿宋" w:cs="仿宋" w:hint="eastAsia"/>
          <w:sz w:val="32"/>
          <w:szCs w:val="32"/>
        </w:rPr>
        <w:t>类，对应的联合国编号为</w:t>
      </w:r>
      <w:r>
        <w:rPr>
          <w:rFonts w:ascii="仿宋" w:eastAsia="仿宋" w:hAnsi="仿宋" w:cs="仿宋" w:hint="eastAsia"/>
          <w:sz w:val="32"/>
          <w:szCs w:val="32"/>
        </w:rPr>
        <w:t>UN3373</w:t>
      </w:r>
      <w:r>
        <w:rPr>
          <w:rFonts w:ascii="仿宋" w:eastAsia="仿宋" w:hAnsi="仿宋" w:cs="仿宋" w:hint="eastAsia"/>
          <w:sz w:val="32"/>
          <w:szCs w:val="32"/>
        </w:rPr>
        <w:t>，包装符合国际民航组织文件</w:t>
      </w:r>
      <w:r>
        <w:rPr>
          <w:rFonts w:ascii="仿宋" w:eastAsia="仿宋" w:hAnsi="仿宋" w:cs="仿宋" w:hint="eastAsia"/>
          <w:sz w:val="32"/>
          <w:szCs w:val="32"/>
        </w:rPr>
        <w:t>Doc9284</w:t>
      </w:r>
      <w:r>
        <w:rPr>
          <w:rFonts w:ascii="仿宋" w:eastAsia="仿宋" w:hAnsi="仿宋" w:cs="仿宋" w:hint="eastAsia"/>
          <w:sz w:val="32"/>
          <w:szCs w:val="32"/>
        </w:rPr>
        <w:t>《危险品航空安全运输技术细则》的</w:t>
      </w:r>
      <w:r>
        <w:rPr>
          <w:rFonts w:ascii="仿宋" w:eastAsia="仿宋" w:hAnsi="仿宋" w:cs="仿宋" w:hint="eastAsia"/>
          <w:sz w:val="32"/>
          <w:szCs w:val="32"/>
        </w:rPr>
        <w:t>PI650</w:t>
      </w:r>
      <w:r>
        <w:rPr>
          <w:rFonts w:ascii="仿宋" w:eastAsia="仿宋" w:hAnsi="仿宋" w:cs="仿宋" w:hint="eastAsia"/>
          <w:sz w:val="32"/>
          <w:szCs w:val="32"/>
        </w:rPr>
        <w:t>分类包装要求；通过其他交通工具运输的可参照以上</w:t>
      </w:r>
      <w:r>
        <w:rPr>
          <w:rFonts w:ascii="仿宋" w:eastAsia="仿宋" w:hAnsi="仿宋" w:cs="仿宋" w:hint="eastAsia"/>
          <w:sz w:val="32"/>
          <w:szCs w:val="32"/>
        </w:rPr>
        <w:t>标准包装。</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新型冠状病毒毒株或其他潜在感染性材料运输应当按照《可感染人类的高致病性病原微生物菌（毒）种或样本运输管理规定》（卫生部令第</w:t>
      </w:r>
      <w:r>
        <w:rPr>
          <w:rFonts w:ascii="仿宋" w:eastAsia="仿宋" w:hAnsi="仿宋" w:cs="仿宋" w:hint="eastAsia"/>
          <w:sz w:val="32"/>
          <w:szCs w:val="32"/>
        </w:rPr>
        <w:t>45</w:t>
      </w:r>
      <w:r>
        <w:rPr>
          <w:rFonts w:ascii="仿宋" w:eastAsia="仿宋" w:hAnsi="仿宋" w:cs="仿宋" w:hint="eastAsia"/>
          <w:sz w:val="32"/>
          <w:szCs w:val="32"/>
        </w:rPr>
        <w:t>号）办理《准运证书》。</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（二）国际运输：新型冠状病毒毒株或样本在国际间运输的，应当规范包装，按照《出入境特殊物品卫生检疫管理规定》办理相关手续，并满足相关国家和国际相关要求。</w:t>
      </w:r>
    </w:p>
    <w:p w:rsidR="00AA5D09" w:rsidRDefault="000970A9">
      <w:pPr>
        <w:rPr>
          <w:rFonts w:ascii="仿宋" w:eastAsia="仿宋" w:hAnsi="仿宋" w:cs="仿宋"/>
          <w:sz w:val="32"/>
          <w:szCs w:val="32"/>
        </w:rPr>
      </w:pPr>
      <w:r>
        <w:rPr>
          <w:rFonts w:ascii="仿宋" w:eastAsia="仿宋" w:hAnsi="仿宋" w:cs="仿宋" w:hint="eastAsia"/>
          <w:sz w:val="32"/>
          <w:szCs w:val="32"/>
        </w:rPr>
        <w:lastRenderedPageBreak/>
        <w:t xml:space="preserve">　　（三）毒株和样本管理：新型冠状病毒毒株和相关样本应当由专人管理，准确记录毒株和样本的来源、种类、数量、编号登记，采取有效措施确保毒株和样本的安全，严防发生误用、恶意使用、被盗、被抢、丢失</w:t>
      </w:r>
      <w:r>
        <w:rPr>
          <w:rFonts w:ascii="仿宋" w:eastAsia="仿宋" w:hAnsi="仿宋" w:cs="仿宋" w:hint="eastAsia"/>
          <w:sz w:val="32"/>
          <w:szCs w:val="32"/>
        </w:rPr>
        <w:t>、泄露等事件。</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三、废弃物管理</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（一）开展新型冠状病毒相关实验活动的实验室应当制定废弃物处置程序文件及污物、污水处理操作程序。</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（二）所有的危险性废弃物必须依照统一规格化的容器和标示方式，完整并且合规地标示废弃物内容。</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（三）应当由经过适当培训的人员使用适当的个人防护装备和设备处理危险废弃物。</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（四）废弃物的处理措施：废弃物的处理是控制实验室生物安全的关键环节，切实安全地处理感染性废弃物，必须充分掌握生物安全废弃物的分类，并严格执行相应的处理程序。</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废液的处理：实验室产生的废液可</w:t>
      </w:r>
      <w:r>
        <w:rPr>
          <w:rFonts w:ascii="仿宋" w:eastAsia="仿宋" w:hAnsi="仿宋" w:cs="仿宋" w:hint="eastAsia"/>
          <w:sz w:val="32"/>
          <w:szCs w:val="32"/>
        </w:rPr>
        <w:t>分为普通污水和感染性废液。</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）普通污水产生于洗手池等设备，对此类污水应当单独收集，排入实验室水处理系统，经处理达标后方可排放。</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）感染性废液即在实验操作过程中产生的废水，采用化学消毒或物理消毒方式处理，并对消毒效果进行验证，确保彻底灭活。</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）工作人员应当及时处理废弃物，不得将废弃物带出实验区。</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固体废物的处理</w:t>
      </w:r>
      <w:r>
        <w:rPr>
          <w:rFonts w:ascii="仿宋" w:eastAsia="仿宋" w:hAnsi="仿宋" w:cs="仿宋" w:hint="eastAsia"/>
          <w:sz w:val="32"/>
          <w:szCs w:val="32"/>
        </w:rPr>
        <w:t>:</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）固体废物分类收集，固体废物的收集容器应当具有不易破裂、防渗漏、耐湿耐热、可密封等特性。实验室内的感染性垃圾不允许堆积存放，应当及时压力蒸汽灭菌处理。废物处置</w:t>
      </w:r>
      <w:r>
        <w:rPr>
          <w:rFonts w:ascii="仿宋" w:eastAsia="仿宋" w:hAnsi="仿宋" w:cs="仿宋" w:hint="eastAsia"/>
          <w:sz w:val="32"/>
          <w:szCs w:val="32"/>
        </w:rPr>
        <w:t>之前，应当存放在实验室内指定的安全地方。</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）小型固体废物如组织标本、耗材、个人防护装备等均需经过压力蒸汽灭菌处理，再沿废弃物通道移出实验室。</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）体积较大的固体废物如</w:t>
      </w:r>
      <w:r>
        <w:rPr>
          <w:rFonts w:ascii="仿宋" w:eastAsia="仿宋" w:hAnsi="仿宋" w:cs="仿宋" w:hint="eastAsia"/>
          <w:sz w:val="32"/>
          <w:szCs w:val="32"/>
        </w:rPr>
        <w:t>HEPA</w:t>
      </w:r>
      <w:r>
        <w:rPr>
          <w:rFonts w:ascii="仿宋" w:eastAsia="仿宋" w:hAnsi="仿宋" w:cs="仿宋" w:hint="eastAsia"/>
          <w:sz w:val="32"/>
          <w:szCs w:val="32"/>
        </w:rPr>
        <w:t>过滤器，应当由专业人士进行原位消毒后，装入安全容器内进行消毒灭菌。不能进行压力蒸汽灭菌的物品如电子设备可以采用环氧乙烷熏蒸消毒处理。</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）经消毒灭菌处理后移出实验室的固体废物，集中交由固体废物处理单位处置。</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）实验过程如使用锐器（包括针头、小刀、金属和玻璃等）要直接弃置于锐器盒内，高压灭菌后，再做统一处理。</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（五）建立废弃物处理记录：定期对实验室排风</w:t>
      </w:r>
      <w:r>
        <w:rPr>
          <w:rFonts w:ascii="仿宋" w:eastAsia="仿宋" w:hAnsi="仿宋" w:cs="仿宋" w:hint="eastAsia"/>
          <w:sz w:val="32"/>
          <w:szCs w:val="32"/>
        </w:rPr>
        <w:t>HEPA</w:t>
      </w:r>
      <w:r>
        <w:rPr>
          <w:rFonts w:ascii="仿宋" w:eastAsia="仿宋" w:hAnsi="仿宋" w:cs="仿宋" w:hint="eastAsia"/>
          <w:sz w:val="32"/>
          <w:szCs w:val="32"/>
        </w:rPr>
        <w:t>过滤器进行检漏和更换，定期对处理后的污水进行监测，采用生物指示剂监测压力蒸汽灭菌效果。</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四、实验室生物安全操作失误或意外的处理</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（一）新型冠状病毒毒株或其他潜在感染性材料污染生物安全柜的操作台造成局限污染：使用有效氯含量为</w:t>
      </w:r>
      <w:r>
        <w:rPr>
          <w:rFonts w:ascii="仿宋" w:eastAsia="仿宋" w:hAnsi="仿宋" w:cs="仿宋" w:hint="eastAsia"/>
          <w:sz w:val="32"/>
          <w:szCs w:val="32"/>
        </w:rPr>
        <w:t>0.55%</w:t>
      </w:r>
      <w:r>
        <w:rPr>
          <w:rFonts w:ascii="仿宋" w:eastAsia="仿宋" w:hAnsi="仿宋" w:cs="仿宋" w:hint="eastAsia"/>
          <w:sz w:val="32"/>
          <w:szCs w:val="32"/>
        </w:rPr>
        <w:t>消毒液，消毒液需要现用现配，</w:t>
      </w:r>
      <w:r>
        <w:rPr>
          <w:rFonts w:ascii="仿宋" w:eastAsia="仿宋" w:hAnsi="仿宋" w:cs="仿宋" w:hint="eastAsia"/>
          <w:sz w:val="32"/>
          <w:szCs w:val="32"/>
        </w:rPr>
        <w:t>24</w:t>
      </w:r>
      <w:r>
        <w:rPr>
          <w:rFonts w:ascii="仿宋" w:eastAsia="仿宋" w:hAnsi="仿宋" w:cs="仿宋" w:hint="eastAsia"/>
          <w:sz w:val="32"/>
          <w:szCs w:val="32"/>
        </w:rPr>
        <w:t>小时内使用。此后内容中有效氯含量参照此浓度。</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（二）含病毒培养器皿碎裂或倾覆造成实验室污染：保持实验室空间密闭，避免污染物扩散，使用</w:t>
      </w:r>
      <w:r>
        <w:rPr>
          <w:rFonts w:ascii="仿宋" w:eastAsia="仿宋" w:hAnsi="仿宋" w:cs="仿宋" w:hint="eastAsia"/>
          <w:sz w:val="32"/>
          <w:szCs w:val="32"/>
        </w:rPr>
        <w:t>0.55%</w:t>
      </w:r>
      <w:r>
        <w:rPr>
          <w:rFonts w:ascii="仿宋" w:eastAsia="仿宋" w:hAnsi="仿宋" w:cs="仿宋" w:hint="eastAsia"/>
          <w:sz w:val="32"/>
          <w:szCs w:val="32"/>
        </w:rPr>
        <w:t>有效氯消毒液的毛巾覆盖污染区。必要时</w:t>
      </w:r>
      <w:r>
        <w:rPr>
          <w:rFonts w:ascii="仿宋" w:eastAsia="仿宋" w:hAnsi="仿宋" w:cs="仿宋" w:hint="eastAsia"/>
          <w:sz w:val="32"/>
          <w:szCs w:val="32"/>
        </w:rPr>
        <w:t>(</w:t>
      </w:r>
      <w:r>
        <w:rPr>
          <w:rFonts w:ascii="仿宋" w:eastAsia="仿宋" w:hAnsi="仿宋" w:cs="仿宋" w:hint="eastAsia"/>
          <w:sz w:val="32"/>
          <w:szCs w:val="32"/>
        </w:rPr>
        <w:t>大</w:t>
      </w:r>
      <w:r>
        <w:rPr>
          <w:rFonts w:ascii="仿宋" w:eastAsia="仿宋" w:hAnsi="仿宋" w:cs="仿宋" w:hint="eastAsia"/>
          <w:sz w:val="32"/>
          <w:szCs w:val="32"/>
        </w:rPr>
        <w:t>量溢撒时</w:t>
      </w:r>
      <w:r>
        <w:rPr>
          <w:rFonts w:ascii="仿宋" w:eastAsia="仿宋" w:hAnsi="仿宋" w:cs="仿宋" w:hint="eastAsia"/>
          <w:sz w:val="32"/>
          <w:szCs w:val="32"/>
        </w:rPr>
        <w:t>)</w:t>
      </w:r>
      <w:r>
        <w:rPr>
          <w:rFonts w:ascii="仿宋" w:eastAsia="仿宋" w:hAnsi="仿宋" w:cs="仿宋" w:hint="eastAsia"/>
          <w:sz w:val="32"/>
          <w:szCs w:val="32"/>
        </w:rPr>
        <w:t>可用过氧乙酸加热熏蒸实验室，剂量为</w:t>
      </w:r>
      <w:r>
        <w:rPr>
          <w:rFonts w:ascii="仿宋" w:eastAsia="仿宋" w:hAnsi="仿宋" w:cs="仿宋" w:hint="eastAsia"/>
          <w:sz w:val="32"/>
          <w:szCs w:val="32"/>
        </w:rPr>
        <w:t>2g/m3,</w:t>
      </w:r>
      <w:r>
        <w:rPr>
          <w:rFonts w:ascii="仿宋" w:eastAsia="仿宋" w:hAnsi="仿宋" w:cs="仿宋" w:hint="eastAsia"/>
          <w:sz w:val="32"/>
          <w:szCs w:val="32"/>
        </w:rPr>
        <w:t>熏蒸过夜；或</w:t>
      </w:r>
      <w:r>
        <w:rPr>
          <w:rFonts w:ascii="仿宋" w:eastAsia="仿宋" w:hAnsi="仿宋" w:cs="仿宋" w:hint="eastAsia"/>
          <w:sz w:val="32"/>
          <w:szCs w:val="32"/>
        </w:rPr>
        <w:t>20g/L</w:t>
      </w:r>
      <w:r>
        <w:rPr>
          <w:rFonts w:ascii="仿宋" w:eastAsia="仿宋" w:hAnsi="仿宋" w:cs="仿宋" w:hint="eastAsia"/>
          <w:sz w:val="32"/>
          <w:szCs w:val="32"/>
        </w:rPr>
        <w:t>过氧乙酸消毒液用气溶胶喷雾器喷雾，用量</w:t>
      </w:r>
      <w:r>
        <w:rPr>
          <w:rFonts w:ascii="仿宋" w:eastAsia="仿宋" w:hAnsi="仿宋" w:cs="仿宋" w:hint="eastAsia"/>
          <w:sz w:val="32"/>
          <w:szCs w:val="32"/>
        </w:rPr>
        <w:t>8ml/m3</w:t>
      </w:r>
      <w:r>
        <w:rPr>
          <w:rFonts w:ascii="仿宋" w:eastAsia="仿宋" w:hAnsi="仿宋" w:cs="仿宋" w:hint="eastAsia"/>
          <w:sz w:val="32"/>
          <w:szCs w:val="32"/>
        </w:rPr>
        <w:t>，作用</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小时；必要时或用高锰酸钾</w:t>
      </w:r>
      <w:r>
        <w:rPr>
          <w:rFonts w:ascii="仿宋" w:eastAsia="仿宋" w:hAnsi="仿宋" w:cs="仿宋" w:hint="eastAsia"/>
          <w:sz w:val="32"/>
          <w:szCs w:val="32"/>
        </w:rPr>
        <w:t>-</w:t>
      </w:r>
      <w:r>
        <w:rPr>
          <w:rFonts w:ascii="仿宋" w:eastAsia="仿宋" w:hAnsi="仿宋" w:cs="仿宋" w:hint="eastAsia"/>
          <w:sz w:val="32"/>
          <w:szCs w:val="32"/>
        </w:rPr>
        <w:t>甲醛熏蒸：高锰酸钾</w:t>
      </w:r>
      <w:r>
        <w:rPr>
          <w:rFonts w:ascii="仿宋" w:eastAsia="仿宋" w:hAnsi="仿宋" w:cs="仿宋" w:hint="eastAsia"/>
          <w:sz w:val="32"/>
          <w:szCs w:val="32"/>
        </w:rPr>
        <w:t>8g/m3,</w:t>
      </w:r>
      <w:r>
        <w:rPr>
          <w:rFonts w:ascii="仿宋" w:eastAsia="仿宋" w:hAnsi="仿宋" w:cs="仿宋" w:hint="eastAsia"/>
          <w:sz w:val="32"/>
          <w:szCs w:val="32"/>
        </w:rPr>
        <w:t>放入耐热耐腐蚀容器（陶罐或玻璃容器），后加入甲醛（</w:t>
      </w:r>
      <w:r>
        <w:rPr>
          <w:rFonts w:ascii="仿宋" w:eastAsia="仿宋" w:hAnsi="仿宋" w:cs="仿宋" w:hint="eastAsia"/>
          <w:sz w:val="32"/>
          <w:szCs w:val="32"/>
        </w:rPr>
        <w:t>40%</w:t>
      </w:r>
      <w:r>
        <w:rPr>
          <w:rFonts w:ascii="仿宋" w:eastAsia="仿宋" w:hAnsi="仿宋" w:cs="仿宋" w:hint="eastAsia"/>
          <w:sz w:val="32"/>
          <w:szCs w:val="32"/>
        </w:rPr>
        <w:t>）</w:t>
      </w:r>
      <w:r>
        <w:rPr>
          <w:rFonts w:ascii="仿宋" w:eastAsia="仿宋" w:hAnsi="仿宋" w:cs="仿宋" w:hint="eastAsia"/>
          <w:sz w:val="32"/>
          <w:szCs w:val="32"/>
        </w:rPr>
        <w:t>10ml/m3</w:t>
      </w:r>
      <w:r>
        <w:rPr>
          <w:rFonts w:ascii="仿宋" w:eastAsia="仿宋" w:hAnsi="仿宋" w:cs="仿宋" w:hint="eastAsia"/>
          <w:sz w:val="32"/>
          <w:szCs w:val="32"/>
        </w:rPr>
        <w:t>，熏蒸</w:t>
      </w:r>
      <w:r>
        <w:rPr>
          <w:rFonts w:ascii="仿宋" w:eastAsia="仿宋" w:hAnsi="仿宋" w:cs="仿宋" w:hint="eastAsia"/>
          <w:sz w:val="32"/>
          <w:szCs w:val="32"/>
        </w:rPr>
        <w:t>4</w:t>
      </w:r>
      <w:r>
        <w:rPr>
          <w:rFonts w:ascii="仿宋" w:eastAsia="仿宋" w:hAnsi="仿宋" w:cs="仿宋" w:hint="eastAsia"/>
          <w:sz w:val="32"/>
          <w:szCs w:val="32"/>
        </w:rPr>
        <w:t>小时以上。熏蒸时室内湿度</w:t>
      </w:r>
      <w:r>
        <w:rPr>
          <w:rFonts w:ascii="仿宋" w:eastAsia="仿宋" w:hAnsi="仿宋" w:cs="仿宋" w:hint="eastAsia"/>
          <w:sz w:val="32"/>
          <w:szCs w:val="32"/>
        </w:rPr>
        <w:t>60%-80%</w:t>
      </w:r>
      <w:r>
        <w:rPr>
          <w:rFonts w:ascii="仿宋" w:eastAsia="仿宋" w:hAnsi="仿宋" w:cs="仿宋" w:hint="eastAsia"/>
          <w:sz w:val="32"/>
          <w:szCs w:val="32"/>
        </w:rPr>
        <w:t>。</w:t>
      </w:r>
    </w:p>
    <w:p w:rsidR="00AA5D09" w:rsidRDefault="000970A9">
      <w:pPr>
        <w:rPr>
          <w:rFonts w:ascii="仿宋" w:eastAsia="仿宋" w:hAnsi="仿宋" w:cs="仿宋"/>
          <w:sz w:val="32"/>
          <w:szCs w:val="32"/>
        </w:rPr>
      </w:pPr>
      <w:r>
        <w:rPr>
          <w:rFonts w:ascii="仿宋" w:eastAsia="仿宋" w:hAnsi="仿宋" w:cs="仿宋" w:hint="eastAsia"/>
          <w:sz w:val="32"/>
          <w:szCs w:val="32"/>
        </w:rPr>
        <w:t xml:space="preserve">　　（三）清理污染物严格遵循活病毒生物安全操作要求，采用压力蒸汽灭菌处理，并进行实验室换气等，防止次生危害。</w:t>
      </w:r>
    </w:p>
    <w:sectPr w:rsidR="00AA5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A9" w:rsidRDefault="000970A9" w:rsidP="000970A9">
      <w:r>
        <w:separator/>
      </w:r>
    </w:p>
  </w:endnote>
  <w:endnote w:type="continuationSeparator" w:id="0">
    <w:p w:rsidR="000970A9" w:rsidRDefault="000970A9" w:rsidP="0009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A9" w:rsidRDefault="000970A9" w:rsidP="000970A9">
      <w:r>
        <w:separator/>
      </w:r>
    </w:p>
  </w:footnote>
  <w:footnote w:type="continuationSeparator" w:id="0">
    <w:p w:rsidR="000970A9" w:rsidRDefault="000970A9" w:rsidP="00097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85E48"/>
    <w:rsid w:val="000970A9"/>
    <w:rsid w:val="00AA5D09"/>
    <w:rsid w:val="5A38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F4CF402-4E50-4ABF-A8D7-5A80FBF7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0970A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970A9"/>
    <w:rPr>
      <w:rFonts w:asciiTheme="minorHAnsi" w:eastAsiaTheme="minorEastAsia" w:hAnsiTheme="minorHAnsi" w:cstheme="minorBidi"/>
      <w:kern w:val="2"/>
      <w:sz w:val="18"/>
      <w:szCs w:val="18"/>
    </w:rPr>
  </w:style>
  <w:style w:type="paragraph" w:styleId="a7">
    <w:name w:val="footer"/>
    <w:basedOn w:val="a"/>
    <w:link w:val="a8"/>
    <w:rsid w:val="000970A9"/>
    <w:pPr>
      <w:tabs>
        <w:tab w:val="center" w:pos="4153"/>
        <w:tab w:val="right" w:pos="8306"/>
      </w:tabs>
      <w:snapToGrid w:val="0"/>
      <w:jc w:val="left"/>
    </w:pPr>
    <w:rPr>
      <w:sz w:val="18"/>
      <w:szCs w:val="18"/>
    </w:rPr>
  </w:style>
  <w:style w:type="character" w:customStyle="1" w:styleId="a8">
    <w:name w:val="页脚 字符"/>
    <w:basedOn w:val="a0"/>
    <w:link w:val="a7"/>
    <w:rsid w:val="000970A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Company>SYSU</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桔子</dc:creator>
  <cp:lastModifiedBy>SYSU</cp:lastModifiedBy>
  <cp:revision>2</cp:revision>
  <dcterms:created xsi:type="dcterms:W3CDTF">2020-02-09T08:41:00Z</dcterms:created>
  <dcterms:modified xsi:type="dcterms:W3CDTF">2020-02-09T08:41:00Z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