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4B11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附件2：</w:t>
      </w:r>
    </w:p>
    <w:p w14:paraId="6D0D913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Arial" w:hAnsi="Arial" w:eastAsia="宋体" w:cs="Arial"/>
          <w:b/>
          <w:bCs/>
          <w:sz w:val="36"/>
          <w:szCs w:val="36"/>
        </w:rPr>
        <w:t>无学术成果申请</w:t>
      </w:r>
      <w:r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  <w:t>答辩或申请</w:t>
      </w:r>
      <w:r>
        <w:rPr>
          <w:rFonts w:ascii="Arial" w:hAnsi="Arial" w:eastAsia="宋体" w:cs="Arial"/>
          <w:b/>
          <w:bCs/>
          <w:sz w:val="36"/>
          <w:szCs w:val="36"/>
        </w:rPr>
        <w:t>学位流程</w:t>
      </w:r>
    </w:p>
    <w:p w14:paraId="6E1230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</w:pPr>
    </w:p>
    <w:p w14:paraId="73592B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申请答辩流程</w:t>
      </w:r>
    </w:p>
    <w:p w14:paraId="6A67E2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（一）硕士研究生：申请人按正常学位答辩流程，在平台填写“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”，提交学位论文送审评阅，通过学位论文评阅、学位论文答辩者，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评议后，通过学校审核者，颁发毕业证书，缓授学位。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后期凭学术成果申请学位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44BF93E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（二）博士研究生：申请人按正常学位答辩流程，在平台填写“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”，提交学位论文送审评阅，若学位论文评阅结果全为1档（同意答辩）的，可获得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highlight w:val="none"/>
          <w:lang w:val="en-US" w:eastAsia="zh-CN"/>
        </w:rPr>
        <w:t>学位答辩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资格，通过学位论文答辩者，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评议后，通过学校审核者，颁发毕业证书，缓授学位；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后期凭学术成果申请学位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。若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学位论文评阅结果均通过，但只要有1份为“修改后答辩”的，则仅获得毕业答辩资格。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后期有学术成果，按毕业答辩所有流程申请学位论文答辩（可不再提交论文查重、送审）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。</w:t>
      </w:r>
    </w:p>
    <w:p w14:paraId="70FB6DE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ACEBE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申请学位流程</w:t>
      </w:r>
    </w:p>
    <w:p w14:paraId="026EBF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程序</w:t>
      </w:r>
    </w:p>
    <w:p w14:paraId="08DB09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提出申请</w:t>
      </w:r>
    </w:p>
    <w:p w14:paraId="61B1F4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申请人提出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学术成果申请学位，经导师、学院同意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2025年7月7日前</w:t>
      </w:r>
      <w:r>
        <w:rPr>
          <w:rFonts w:hint="eastAsia" w:ascii="仿宋" w:hAnsi="仿宋" w:eastAsia="仿宋" w:cs="仿宋"/>
          <w:sz w:val="32"/>
          <w:szCs w:val="32"/>
        </w:rPr>
        <w:t>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《中山大学博士硕士无公开发表成果申请学位申请书》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及拟评阅的学位论文；并在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</w:t>
      </w:r>
    </w:p>
    <w:p w14:paraId="7533DA1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学院初审</w:t>
      </w:r>
    </w:p>
    <w:p w14:paraId="75F0FC0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学院研究生教育与学位专门委员会根据申请人学位论文的研究领域，组织3位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以上校内专家组成专家组，对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其学位论文学术水平进行审议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如果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专家组一致</w:t>
      </w:r>
      <w:r>
        <w:rPr>
          <w:rFonts w:hint="eastAsia" w:ascii="仿宋" w:hAnsi="仿宋" w:eastAsia="仿宋" w:cs="仿宋"/>
          <w:sz w:val="32"/>
          <w:szCs w:val="32"/>
        </w:rPr>
        <w:t>认为其学位论文水平达到相关学位层次要求，报研究生院审批。</w:t>
      </w:r>
    </w:p>
    <w:p w14:paraId="2C1ADA3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研究生院送审</w:t>
      </w:r>
    </w:p>
    <w:p w14:paraId="28880CE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经研究生院同意后，将学位论文送教育部学位中心平台匿名盲审（使用学位办公室指定的评阅书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5位评阅专家）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评阅结果4份为“通过评审，须对论文作少许修改”，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份为“通过评审，需对论文作一定修改”或5份均为“通过评审，须对论文作少许修改”的，</w:t>
      </w:r>
      <w:r>
        <w:rPr>
          <w:rFonts w:hint="eastAsia" w:ascii="仿宋" w:hAnsi="仿宋" w:eastAsia="仿宋" w:cs="仿宋"/>
          <w:sz w:val="32"/>
          <w:szCs w:val="32"/>
        </w:rPr>
        <w:t>方可参加本次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</w:t>
      </w:r>
      <w:r>
        <w:rPr>
          <w:rFonts w:hint="eastAsia" w:ascii="仿宋" w:hAnsi="仿宋" w:eastAsia="仿宋" w:cs="仿宋"/>
          <w:sz w:val="32"/>
          <w:szCs w:val="32"/>
        </w:rPr>
        <w:t>论文答辩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未通过者，无复议机会，不得参加答辩。</w:t>
      </w:r>
    </w:p>
    <w:p w14:paraId="67F0F7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4.学位授予审核程序</w:t>
      </w:r>
    </w:p>
    <w:p w14:paraId="10F885FD">
      <w:pPr>
        <w:widowControl/>
        <w:shd w:val="clear" w:color="auto" w:fill="FFFFFF"/>
        <w:snapToGrid/>
        <w:ind w:firstLine="640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如答辩通过，经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、医科学位分委会、学位评定委员会审议通过，可授予学位。其中，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  <w:t>此类学位申请需提交学位分委员会专门重点讨论。</w:t>
      </w:r>
    </w:p>
    <w:p w14:paraId="29F428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(二)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使用本程序申请学位的研究生，在本次学位授予审核工作中，不得中途更换申请方式。</w:t>
      </w:r>
    </w:p>
    <w:p w14:paraId="7600163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所有使用本程序获得学位的学位论文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全部纳入学校学位论文抽检范围，被认定为“存在问题”的学位论文，将依据《中山大学博士硕士学位论文抽检处理办法》进行处理。</w:t>
      </w:r>
    </w:p>
    <w:p w14:paraId="06D9DE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28C25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83B605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14DFE1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C0B1B37"/>
    <w:sectPr>
      <w:pgSz w:w="11906" w:h="16838"/>
      <w:pgMar w:top="1304" w:right="1304" w:bottom="130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YzEyNWQwMzk5MDUzZWJlNzhjNDJhOTQyY2M2ODIifQ=="/>
  </w:docVars>
  <w:rsids>
    <w:rsidRoot w:val="018A5326"/>
    <w:rsid w:val="00F25B19"/>
    <w:rsid w:val="018A5326"/>
    <w:rsid w:val="01B547F1"/>
    <w:rsid w:val="0309215C"/>
    <w:rsid w:val="051A33FA"/>
    <w:rsid w:val="05F21A1C"/>
    <w:rsid w:val="0E093EB1"/>
    <w:rsid w:val="0E574CE7"/>
    <w:rsid w:val="12512607"/>
    <w:rsid w:val="15545B7C"/>
    <w:rsid w:val="162A07A4"/>
    <w:rsid w:val="17832749"/>
    <w:rsid w:val="19AD7FD4"/>
    <w:rsid w:val="1A240213"/>
    <w:rsid w:val="1B311FDA"/>
    <w:rsid w:val="1BEA77B0"/>
    <w:rsid w:val="1BF754B3"/>
    <w:rsid w:val="1F3A2287"/>
    <w:rsid w:val="20350DA3"/>
    <w:rsid w:val="20AD0837"/>
    <w:rsid w:val="21C62197"/>
    <w:rsid w:val="23C245F9"/>
    <w:rsid w:val="24750340"/>
    <w:rsid w:val="24A3267C"/>
    <w:rsid w:val="29F955EA"/>
    <w:rsid w:val="2B0F442A"/>
    <w:rsid w:val="32EA35D0"/>
    <w:rsid w:val="335178BD"/>
    <w:rsid w:val="352A441C"/>
    <w:rsid w:val="3C636F19"/>
    <w:rsid w:val="3D872B79"/>
    <w:rsid w:val="3E8E4922"/>
    <w:rsid w:val="436D7D06"/>
    <w:rsid w:val="44705DEE"/>
    <w:rsid w:val="49A51323"/>
    <w:rsid w:val="4C0B0F5D"/>
    <w:rsid w:val="4EF86F9D"/>
    <w:rsid w:val="53BE7B7B"/>
    <w:rsid w:val="57FE314A"/>
    <w:rsid w:val="59BC506B"/>
    <w:rsid w:val="5B841D55"/>
    <w:rsid w:val="61936779"/>
    <w:rsid w:val="628647C6"/>
    <w:rsid w:val="684E645D"/>
    <w:rsid w:val="693F68FB"/>
    <w:rsid w:val="69C742F3"/>
    <w:rsid w:val="6B3E1D84"/>
    <w:rsid w:val="6DD23B70"/>
    <w:rsid w:val="7582312D"/>
    <w:rsid w:val="7F6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942</Words>
  <Characters>950</Characters>
  <Lines>0</Lines>
  <Paragraphs>0</Paragraphs>
  <TotalTime>18</TotalTime>
  <ScaleCrop>false</ScaleCrop>
  <LinksUpToDate>false</LinksUpToDate>
  <CharactersWithSpaces>950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2022-03-22T01:54:00Z</dcterms:created>
  <dc:creator>冯正巩</dc:creator>
  <cp:lastModifiedBy>祝文秀</cp:lastModifiedBy>
  <dcterms:modified xsi:type="dcterms:W3CDTF">2025-06-04T08:05:30Z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89F768273521430BBBDA9876FA65B338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